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37E4" w:rsidRPr="006A37E4" w:rsidRDefault="006A37E4" w:rsidP="006A37E4">
      <w:pPr>
        <w:spacing w:after="0"/>
        <w:jc w:val="right"/>
        <w:rPr>
          <w:rFonts w:ascii="Times New Roman" w:hAnsi="Times New Roman" w:cs="Times New Roman"/>
          <w:sz w:val="24"/>
          <w:szCs w:val="28"/>
        </w:rPr>
      </w:pPr>
      <w:r w:rsidRPr="006A37E4">
        <w:rPr>
          <w:rFonts w:ascii="Times New Roman" w:hAnsi="Times New Roman" w:cs="Times New Roman"/>
          <w:sz w:val="24"/>
          <w:szCs w:val="28"/>
        </w:rPr>
        <w:t>Утверждено</w:t>
      </w:r>
    </w:p>
    <w:p w:rsidR="006A37E4" w:rsidRPr="006A37E4" w:rsidRDefault="006A37E4" w:rsidP="006A37E4">
      <w:pPr>
        <w:spacing w:after="0"/>
        <w:jc w:val="right"/>
        <w:rPr>
          <w:rFonts w:ascii="Times New Roman" w:hAnsi="Times New Roman" w:cs="Times New Roman"/>
          <w:sz w:val="24"/>
          <w:szCs w:val="28"/>
        </w:rPr>
      </w:pPr>
      <w:r w:rsidRPr="006A37E4">
        <w:rPr>
          <w:rFonts w:ascii="Times New Roman" w:hAnsi="Times New Roman" w:cs="Times New Roman"/>
          <w:sz w:val="24"/>
          <w:szCs w:val="28"/>
        </w:rPr>
        <w:t>решением Президиума</w:t>
      </w:r>
    </w:p>
    <w:p w:rsidR="006A37E4" w:rsidRPr="006A37E4" w:rsidRDefault="006A37E4" w:rsidP="006A37E4">
      <w:pPr>
        <w:spacing w:after="0"/>
        <w:jc w:val="right"/>
        <w:rPr>
          <w:rFonts w:ascii="Times New Roman" w:hAnsi="Times New Roman" w:cs="Times New Roman"/>
          <w:sz w:val="24"/>
          <w:szCs w:val="28"/>
        </w:rPr>
      </w:pPr>
      <w:r w:rsidRPr="006A37E4">
        <w:rPr>
          <w:rFonts w:ascii="Times New Roman" w:hAnsi="Times New Roman" w:cs="Times New Roman"/>
          <w:sz w:val="24"/>
          <w:szCs w:val="28"/>
        </w:rPr>
        <w:t>Национальной палаты</w:t>
      </w:r>
    </w:p>
    <w:p w:rsidR="006A37E4" w:rsidRPr="006A37E4" w:rsidRDefault="006A37E4" w:rsidP="006A37E4">
      <w:pPr>
        <w:spacing w:after="0"/>
        <w:jc w:val="right"/>
        <w:rPr>
          <w:rFonts w:ascii="Times New Roman" w:hAnsi="Times New Roman" w:cs="Times New Roman"/>
          <w:sz w:val="24"/>
          <w:szCs w:val="28"/>
        </w:rPr>
      </w:pPr>
      <w:r w:rsidRPr="006A37E4">
        <w:rPr>
          <w:rFonts w:ascii="Times New Roman" w:hAnsi="Times New Roman" w:cs="Times New Roman"/>
          <w:sz w:val="24"/>
          <w:szCs w:val="28"/>
        </w:rPr>
        <w:t xml:space="preserve"> предпринимателей</w:t>
      </w:r>
    </w:p>
    <w:p w:rsidR="006A37E4" w:rsidRPr="006A37E4" w:rsidRDefault="006A37E4" w:rsidP="006A37E4">
      <w:pPr>
        <w:spacing w:after="0"/>
        <w:jc w:val="right"/>
        <w:rPr>
          <w:rFonts w:ascii="Times New Roman" w:hAnsi="Times New Roman" w:cs="Times New Roman"/>
          <w:sz w:val="24"/>
          <w:szCs w:val="28"/>
        </w:rPr>
      </w:pPr>
      <w:r w:rsidRPr="006A37E4">
        <w:rPr>
          <w:rFonts w:ascii="Times New Roman" w:hAnsi="Times New Roman" w:cs="Times New Roman"/>
          <w:sz w:val="24"/>
          <w:szCs w:val="28"/>
        </w:rPr>
        <w:t>Республики Казахстан</w:t>
      </w:r>
    </w:p>
    <w:p w:rsidR="006A37E4" w:rsidRPr="006A37E4" w:rsidRDefault="006A37E4" w:rsidP="006A37E4">
      <w:pPr>
        <w:spacing w:after="0"/>
        <w:jc w:val="right"/>
        <w:rPr>
          <w:rFonts w:ascii="Times New Roman" w:hAnsi="Times New Roman" w:cs="Times New Roman"/>
          <w:sz w:val="24"/>
          <w:szCs w:val="28"/>
        </w:rPr>
      </w:pPr>
      <w:r w:rsidRPr="006A37E4">
        <w:rPr>
          <w:rFonts w:ascii="Times New Roman" w:hAnsi="Times New Roman" w:cs="Times New Roman"/>
          <w:sz w:val="24"/>
          <w:szCs w:val="28"/>
        </w:rPr>
        <w:t>Протокол № 23</w:t>
      </w:r>
    </w:p>
    <w:p w:rsidR="006A37E4" w:rsidRPr="006A37E4" w:rsidRDefault="006A37E4" w:rsidP="006A37E4">
      <w:pPr>
        <w:spacing w:after="0"/>
        <w:jc w:val="right"/>
        <w:rPr>
          <w:rFonts w:ascii="Times New Roman" w:hAnsi="Times New Roman" w:cs="Times New Roman"/>
          <w:sz w:val="24"/>
          <w:szCs w:val="28"/>
        </w:rPr>
      </w:pPr>
      <w:r w:rsidRPr="006A37E4">
        <w:rPr>
          <w:rFonts w:ascii="Times New Roman" w:hAnsi="Times New Roman" w:cs="Times New Roman"/>
          <w:sz w:val="24"/>
          <w:szCs w:val="28"/>
        </w:rPr>
        <w:t>от «19» декабря 2022 года</w:t>
      </w:r>
    </w:p>
    <w:p w:rsidR="006A37E4" w:rsidRPr="006A37E4" w:rsidRDefault="006A37E4" w:rsidP="006A37E4">
      <w:pPr>
        <w:spacing w:after="0"/>
        <w:jc w:val="right"/>
        <w:rPr>
          <w:rFonts w:ascii="Times New Roman" w:hAnsi="Times New Roman" w:cs="Times New Roman"/>
          <w:sz w:val="24"/>
          <w:szCs w:val="28"/>
        </w:rPr>
      </w:pPr>
      <w:r w:rsidRPr="006A37E4">
        <w:rPr>
          <w:rFonts w:ascii="Times New Roman" w:hAnsi="Times New Roman" w:cs="Times New Roman"/>
          <w:sz w:val="24"/>
          <w:szCs w:val="28"/>
        </w:rPr>
        <w:t xml:space="preserve"> </w:t>
      </w:r>
    </w:p>
    <w:p w:rsidR="006A37E4" w:rsidRPr="006A37E4" w:rsidRDefault="006A37E4" w:rsidP="006A37E4">
      <w:pPr>
        <w:jc w:val="center"/>
        <w:rPr>
          <w:rFonts w:ascii="Times New Roman" w:hAnsi="Times New Roman" w:cs="Times New Roman"/>
          <w:b/>
          <w:sz w:val="28"/>
          <w:szCs w:val="28"/>
        </w:rPr>
      </w:pPr>
    </w:p>
    <w:p w:rsidR="006A37E4" w:rsidRPr="006A37E4" w:rsidRDefault="006A37E4" w:rsidP="006A37E4">
      <w:pPr>
        <w:jc w:val="center"/>
        <w:rPr>
          <w:rFonts w:ascii="Times New Roman" w:hAnsi="Times New Roman" w:cs="Times New Roman"/>
          <w:b/>
          <w:sz w:val="28"/>
          <w:szCs w:val="28"/>
        </w:rPr>
      </w:pPr>
      <w:r w:rsidRPr="006A37E4">
        <w:rPr>
          <w:rFonts w:ascii="Times New Roman" w:hAnsi="Times New Roman" w:cs="Times New Roman"/>
          <w:b/>
          <w:sz w:val="28"/>
          <w:szCs w:val="28"/>
        </w:rPr>
        <w:t>ПОЛОЖЕНИЕ</w:t>
      </w:r>
    </w:p>
    <w:p w:rsidR="006A37E4" w:rsidRPr="006A37E4" w:rsidRDefault="006A37E4" w:rsidP="006A37E4">
      <w:pPr>
        <w:jc w:val="center"/>
        <w:rPr>
          <w:rFonts w:ascii="Times New Roman" w:hAnsi="Times New Roman" w:cs="Times New Roman"/>
          <w:b/>
          <w:sz w:val="28"/>
          <w:szCs w:val="28"/>
        </w:rPr>
      </w:pPr>
      <w:r w:rsidRPr="006A37E4">
        <w:rPr>
          <w:rFonts w:ascii="Times New Roman" w:hAnsi="Times New Roman" w:cs="Times New Roman"/>
          <w:b/>
          <w:sz w:val="28"/>
          <w:szCs w:val="28"/>
        </w:rPr>
        <w:t>о Комитете нефтегазовой промышленности Президиума Национальной палаты предпринимателей Республики Казахстан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(с изменениями и дополнениями по состоянию на 22.01.2025 года)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 </w:t>
      </w:r>
    </w:p>
    <w:p w:rsidR="006A37E4" w:rsidRPr="006A37E4" w:rsidRDefault="006A37E4" w:rsidP="006A37E4">
      <w:pPr>
        <w:jc w:val="both"/>
        <w:rPr>
          <w:rFonts w:ascii="Times New Roman" w:hAnsi="Times New Roman" w:cs="Times New Roman"/>
          <w:sz w:val="28"/>
          <w:szCs w:val="28"/>
        </w:rPr>
      </w:pPr>
      <w:r>
        <w:rPr>
          <w:rFonts w:ascii="Times New Roman" w:hAnsi="Times New Roman" w:cs="Times New Roman"/>
          <w:sz w:val="28"/>
          <w:szCs w:val="28"/>
        </w:rPr>
        <w:t>1. Общие положения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1.1. Настоящее Положение о Комитете нефтегазовой промышленности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нефтегазовой промышленности Президиума Национальной палаты (далее – Комитет) и его членов, а также устанавливает правила и процедуры деятельности Комитета Президиума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w:t>
      </w:r>
      <w:r>
        <w:rPr>
          <w:rFonts w:ascii="Times New Roman" w:hAnsi="Times New Roman" w:cs="Times New Roman"/>
          <w:sz w:val="28"/>
          <w:szCs w:val="28"/>
        </w:rPr>
        <w:t>окументами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Цель</w:t>
      </w:r>
      <w:r>
        <w:rPr>
          <w:rFonts w:ascii="Times New Roman" w:hAnsi="Times New Roman" w:cs="Times New Roman"/>
          <w:sz w:val="28"/>
          <w:szCs w:val="28"/>
        </w:rPr>
        <w:t xml:space="preserve"> и задачи деятельности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2.1. Комитет создан в целях эффективного взаимодействия бизнес-сообщества с органами государственной власти для решения задач Национальной палаты </w:t>
      </w:r>
      <w:r w:rsidRPr="006A37E4">
        <w:rPr>
          <w:rFonts w:ascii="Times New Roman" w:hAnsi="Times New Roman" w:cs="Times New Roman"/>
          <w:sz w:val="28"/>
          <w:szCs w:val="28"/>
        </w:rPr>
        <w:lastRenderedPageBreak/>
        <w:t>по вопросам, связанным с развитием отрасли/сферы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2.2. Основными задачами Комитета являются: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выработка консолидированной позиции по вопросам, относящимся к компетенции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выработка предложений к концептуальным подходам в государственной политике в отрасли/сфере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выработка предложений по совершенствованию законодательства Республики Казахстан по вопросам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определение приоритетных проблем в отрасли\сфере нефтегазовой промышленности, требующих нормативного правового регулирования и (или) организационного решения;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 участие в разработке и реализации программных документов государственных органов по развитию отрасли/сфере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 укрепление сотрудничества с международными организациями и компаниями в отрасли/сфере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 </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Направления деятельности, функци</w:t>
      </w:r>
      <w:r>
        <w:rPr>
          <w:rFonts w:ascii="Times New Roman" w:hAnsi="Times New Roman" w:cs="Times New Roman"/>
          <w:sz w:val="28"/>
          <w:szCs w:val="28"/>
        </w:rPr>
        <w:t>и, права и обязанности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3.1. К направлениям д</w:t>
      </w:r>
      <w:r>
        <w:rPr>
          <w:rFonts w:ascii="Times New Roman" w:hAnsi="Times New Roman" w:cs="Times New Roman"/>
          <w:sz w:val="28"/>
          <w:szCs w:val="28"/>
        </w:rPr>
        <w:t>еятельности Комитета относится: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выработка мер и предложений по регулированию деятельности, направленной на обеспечение устойчивого и сбалансированного роста субъектов предпринимательского сообщества в отрасли\сфере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формирование комплекса мер, направленных на снижение административной нагрузки на бизнес, оптимизацию государственного регулирования субъектов бизнеса в отрасли\сфере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организация и участие в проведении публичных мероприятий (конференций, форумов, выставок, конкурсов, экономических миссий и др.), способствующих росту конкурентоспособных субъектов предпринимательства в отрасли/сфере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4) проработка вопросов, направленных на поддержку новых бизнес-инициатив, оздоровление предпринимательского сектора, снижение валютных рисков предпринимателей, усиление предпринимательского </w:t>
      </w:r>
      <w:r w:rsidRPr="006A37E4">
        <w:rPr>
          <w:rFonts w:ascii="Times New Roman" w:hAnsi="Times New Roman" w:cs="Times New Roman"/>
          <w:sz w:val="28"/>
          <w:szCs w:val="28"/>
        </w:rPr>
        <w:lastRenderedPageBreak/>
        <w:t>потенциала, финансовую и нефинансовую поддержку бизнеса в отрасли/сфере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 рассмотрение и обсуждение нормативно-правовой базы в рамках интеграционных процессов в сфере нефтегазовой промышленности по Таможенному союзу, Единому экономическому пространству, Евразийскому экономическому союзу;</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 участие в процессах совершенствования системы технического регулирования и стандартизации в 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 совершенствование законодательства в 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9) выработка предложений по повышению </w:t>
      </w:r>
      <w:proofErr w:type="spellStart"/>
      <w:r w:rsidRPr="006A37E4">
        <w:rPr>
          <w:rFonts w:ascii="Times New Roman" w:hAnsi="Times New Roman" w:cs="Times New Roman"/>
          <w:sz w:val="28"/>
          <w:szCs w:val="28"/>
        </w:rPr>
        <w:t>внутристрановой</w:t>
      </w:r>
      <w:proofErr w:type="spellEnd"/>
      <w:r w:rsidRPr="006A37E4">
        <w:rPr>
          <w:rFonts w:ascii="Times New Roman" w:hAnsi="Times New Roman" w:cs="Times New Roman"/>
          <w:sz w:val="28"/>
          <w:szCs w:val="28"/>
        </w:rPr>
        <w:t xml:space="preserve"> ценности в 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10) содействие развитию механизмов функционирования рынка нефти и нефтепродуктов в Республике Казахстан;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11) содействие развитию механизмов функционирования рынка газа и продуктов его переработки в Республике Казахстан;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12) участие в научно-исследовательских и опытно-конструкторских работ в сфере нефтегазовой промышленности;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13) создание условий для обеспечения сферы нефтегазовой промышленности научными кадрами и квалифицированными специалистами.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3.2. Комитет в соответствии с возложенными на него задачами осуществляет следующие функции: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выработка и представление позиции Национальной палаты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информирование членов Национальной палаты о деятельности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внесение предложений по разработке законопроектов и иных нормативных правовых актов, регулирующих отношения в отрасли;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5)   координация действий членов Национальной палаты и аккредитованных ассоциаций (союзов) по реализации ключевых вопросов развития отрасли в соответствии с принятыми программными документами государственных органов;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   проведение общественных слушаний.</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запрашивать и получать у органов и должностных лиц Национальной палаты, членов Национальной палаты и аккредитованных ассоциаций (союзов), государственных органов и иных заинтересованных сторон необходимую информацию и материалы;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ассоциаций (союзов), иных организаций и компаний, отраслевых специалистов, независимых консультантов и представителей научных кругов;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 приглашать на открытые заседания Комитета руководителей и членов ассоциаций (союзов),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3.4. Комитет при реализации возложенных на него задач и осуществлении своих функций обязан: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обеспечивать представление позиции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2) обеспечивать представление позиции аккредитованных в Национальной палате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ежегодно разрабатывать и утверждать план работы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отчитываться по результатам деятельности перед Президиумом не реже одного раза в год.</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 </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Формирование</w:t>
      </w:r>
      <w:r>
        <w:rPr>
          <w:rFonts w:ascii="Times New Roman" w:hAnsi="Times New Roman" w:cs="Times New Roman"/>
          <w:sz w:val="28"/>
          <w:szCs w:val="28"/>
        </w:rPr>
        <w:t xml:space="preserve"> состава Комитета, подкомитетов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4.2. Количество членов Комитета определяется Президиумом и не может быть менее трех.</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4.3. Члены Комитета входят в состав Комитета с правом голоса или с правом совещательного голоса.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4.4. При аккредитации ассоциация (союз) представляет сведения о кандидатах (представителях), предлагаемых в качестве членов Комитета, с приложением на каждого соответствующего представления. </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4.5. От каждой ассоциации (союза) в состав Комитета включаются представители с правом голоса, и по одному представителю с правом совещательного голоса в иные Комитеты. Количество представителей с правом голоса от каждой ассоциации (союза) определяется по решению действующих членов Комитета с правом голоса. При этом, одна ассоциация (союз) может включить своих представителей с правом совещательного голоса не более, чем в три Комитета. Право голоса ассоциация (союз) может иметь только в одном Комитете, за исключением следующих случаев: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включения своего представителя в состав Комитета саморегулирования;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включения своего представителя в состав Комитета женского предпринимательства;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 включения своего представителя в состав иных Комитетов </w:t>
      </w:r>
      <w:proofErr w:type="gramStart"/>
      <w:r w:rsidRPr="006A37E4">
        <w:rPr>
          <w:rFonts w:ascii="Times New Roman" w:hAnsi="Times New Roman" w:cs="Times New Roman"/>
          <w:sz w:val="28"/>
          <w:szCs w:val="28"/>
        </w:rPr>
        <w:t>направление деятельности</w:t>
      </w:r>
      <w:proofErr w:type="gramEnd"/>
      <w:r w:rsidRPr="006A37E4">
        <w:rPr>
          <w:rFonts w:ascii="Times New Roman" w:hAnsi="Times New Roman" w:cs="Times New Roman"/>
          <w:sz w:val="28"/>
          <w:szCs w:val="28"/>
        </w:rPr>
        <w:t xml:space="preserve"> которых соответствует предмету уставной деятельности ассоциации (союза). </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     Пункт 4.5 изменен в соответствии с решением Президиума НПП РК от 22.01.2025 года Протокол № 1</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4.6. На период аккредитации ассоциация (союз) вправе производить замену члена(-</w:t>
      </w:r>
      <w:proofErr w:type="spellStart"/>
      <w:r w:rsidRPr="006A37E4">
        <w:rPr>
          <w:rFonts w:ascii="Times New Roman" w:hAnsi="Times New Roman" w:cs="Times New Roman"/>
          <w:sz w:val="28"/>
          <w:szCs w:val="28"/>
        </w:rPr>
        <w:t>ов</w:t>
      </w:r>
      <w:proofErr w:type="spellEnd"/>
      <w:r w:rsidRPr="006A37E4">
        <w:rPr>
          <w:rFonts w:ascii="Times New Roman" w:hAnsi="Times New Roman" w:cs="Times New Roman"/>
          <w:sz w:val="28"/>
          <w:szCs w:val="28"/>
        </w:rPr>
        <w:t>)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4.7. Рабочий орган Комитета по результатам рассмотрения поступивших сведений, формирует предварительный список по персональному составу Комитета, включающий членов Комитета с правом голоса и с правом совещательного голоса.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Персональный состав и замена членов Комитета утверждается Президиумом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4.9. Кандидат в члены Комитета с правом голоса должен соответствовать следующим критериям: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быть гражданином Республики Казахстан;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срок которого определяется Комитетом, но не менее 3 (трех) лет;</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иным критериям, определенным Комитетом.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избранию вносятся по представлению не менее одной трети членов Комитета с правом голоса.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Председателями Комитетов Президиума не могут быть государственные служащие и работники </w:t>
      </w:r>
      <w:proofErr w:type="spellStart"/>
      <w:r w:rsidRPr="006A37E4">
        <w:rPr>
          <w:rFonts w:ascii="Times New Roman" w:hAnsi="Times New Roman" w:cs="Times New Roman"/>
          <w:sz w:val="28"/>
          <w:szCs w:val="28"/>
        </w:rPr>
        <w:t>квазигосударс</w:t>
      </w:r>
      <w:r>
        <w:rPr>
          <w:rFonts w:ascii="Times New Roman" w:hAnsi="Times New Roman" w:cs="Times New Roman"/>
          <w:sz w:val="28"/>
          <w:szCs w:val="28"/>
        </w:rPr>
        <w:t>твенного</w:t>
      </w:r>
      <w:proofErr w:type="spellEnd"/>
      <w:r>
        <w:rPr>
          <w:rFonts w:ascii="Times New Roman" w:hAnsi="Times New Roman" w:cs="Times New Roman"/>
          <w:sz w:val="28"/>
          <w:szCs w:val="28"/>
        </w:rPr>
        <w:t xml:space="preserve"> сектора.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Кандидаты для избрания Председателем Комитета должны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не менее 5 лет.</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     Пункт 4.10 изменен в соответствии с решением Президиума НПП РК от 22.01.2025 года Протокол № 1</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4.11. Избрание Председателя Комитета производится открытым или закрытым голосованием на очных заседаниях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4.12. Досрочное освобождение от должности Председателя Комитета производится открытым или закрытым голосованием, на заседании Комитета. </w:t>
      </w:r>
      <w:r w:rsidRPr="006A37E4">
        <w:rPr>
          <w:rFonts w:ascii="Times New Roman" w:hAnsi="Times New Roman" w:cs="Times New Roman"/>
          <w:sz w:val="28"/>
          <w:szCs w:val="28"/>
        </w:rPr>
        <w:lastRenderedPageBreak/>
        <w:t>Созыв заседания Комитета о досрочном освобождении Председателя Комитета проводится по инициативе не менее одной трети членов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4.14. Полномочия члена Комитета могут быть прекращены по решению Президиума в следующих случаях:</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6A37E4">
        <w:rPr>
          <w:rFonts w:ascii="Times New Roman" w:hAnsi="Times New Roman" w:cs="Times New Roman"/>
          <w:sz w:val="28"/>
          <w:szCs w:val="28"/>
        </w:rPr>
        <w:t>нереабилитирующим</w:t>
      </w:r>
      <w:proofErr w:type="spellEnd"/>
      <w:r w:rsidRPr="006A37E4">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нарушения норм этики, на основании решения Совета по этике при Национальной палате;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по инициативе ассоциации (союза), представителем которой он является, с даты внесения ассоциацией (союзом) соответствующего заявления на имя Председателя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 прекращения аккредитации ассоциации (союза) в Национальной палате;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одного года, либо 3 раза подряд без уважительной причины (болезнь, командировка и др.);</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 утраты гражданства Республики Казахстан.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предусмотренных подпунктами 2), 3), 4), 5), 7), 8) пункта 4.14. настоящего Положения.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4.17. В порядке, предусмотренном Законом, Уставом и настоящим Положением, по решению Президиума, принимаемому на основании представления Правления, в состав Комитета могут быть включены представители вновь аккредитованных ассоциаций (союзов).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4.18. В Комитете могут быть сформированы подкомитеты, рабочие группы и консультативно-совещательные органы, в состав которых могут входить:</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члены Комитета с правом голоса (по собственной инициативе);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члены Комитета с правом совещательного голоса (по собственной инициативе);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4.19. Работа подкомитетов, рабочих групп и консультативно-совещательных органов провод</w:t>
      </w:r>
      <w:r>
        <w:rPr>
          <w:rFonts w:ascii="Times New Roman" w:hAnsi="Times New Roman" w:cs="Times New Roman"/>
          <w:sz w:val="28"/>
          <w:szCs w:val="28"/>
        </w:rPr>
        <w:t>ится в порядке, определяемом их</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Решения подкомитетов, рабочих групп, консультативно-совещательных органов н</w:t>
      </w:r>
      <w:r>
        <w:rPr>
          <w:rFonts w:ascii="Times New Roman" w:hAnsi="Times New Roman" w:cs="Times New Roman"/>
          <w:sz w:val="28"/>
          <w:szCs w:val="28"/>
        </w:rPr>
        <w:t>осят рекомендательный характер.</w:t>
      </w:r>
    </w:p>
    <w:p w:rsidR="006A37E4" w:rsidRPr="006A37E4" w:rsidRDefault="006A37E4" w:rsidP="006A37E4">
      <w:pPr>
        <w:jc w:val="both"/>
        <w:rPr>
          <w:rFonts w:ascii="Times New Roman" w:hAnsi="Times New Roman" w:cs="Times New Roman"/>
          <w:sz w:val="28"/>
          <w:szCs w:val="28"/>
        </w:rPr>
      </w:pP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5. Права и обязанности членов </w:t>
      </w:r>
      <w:r>
        <w:rPr>
          <w:rFonts w:ascii="Times New Roman" w:hAnsi="Times New Roman" w:cs="Times New Roman"/>
          <w:sz w:val="28"/>
          <w:szCs w:val="28"/>
        </w:rPr>
        <w:t>Комитета, Председателя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5.1. Члены Комитета с правом голоса вправе: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ходатайствовать о созыве заседаний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вносить предложения к повестке дня заседаний Комитета и предложения к проектам решений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3) вносить предложения о создании подкомитетов, рабочих групп и консультативно-совещательных органов;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предоставлять свою кандидатуру в состав подкомитетов, рабочих групп и консультативно-совещательных органов;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 по собственной инициативе выйти из состава Комитета с внесением соответствующего заявления на имя Председателя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6A37E4">
        <w:rPr>
          <w:rFonts w:ascii="Times New Roman" w:hAnsi="Times New Roman" w:cs="Times New Roman"/>
          <w:sz w:val="28"/>
          <w:szCs w:val="28"/>
        </w:rPr>
        <w:t>ами</w:t>
      </w:r>
      <w:proofErr w:type="spellEnd"/>
      <w:r w:rsidRPr="006A37E4">
        <w:rPr>
          <w:rFonts w:ascii="Times New Roman" w:hAnsi="Times New Roman" w:cs="Times New Roman"/>
          <w:sz w:val="28"/>
          <w:szCs w:val="28"/>
        </w:rPr>
        <w:t>) Комитета или Председателем Комитета норм этики;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9) осуществлять иные права, предусмотренные Законом, Уставом, настоящим Положением.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5.2. Члены Комитета с правом голоса обязаны: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обеспечивать предоставление ассоциацией (союзом), представителем которой он является, позиции по вопросам, относящимся к направлениям деятельности Комитета, информации и сведений, запрашиваемых Рабочим органом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обеспечивать предоставление ассоциацией (союзом), представителем которой он является, позиции по проектам нормативных правовых актов, поступающих в Национальную палату для предоставления экспертного заключения;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5) в целях определения охвата Комитетом доли субъектов рынка соответствующей отрасли/сферы предоставлять не реже одного раза в год информацию в Рабочий орган Комитета о членах ассоциаций (союза), </w:t>
      </w:r>
      <w:r w:rsidRPr="006A37E4">
        <w:rPr>
          <w:rFonts w:ascii="Times New Roman" w:hAnsi="Times New Roman" w:cs="Times New Roman"/>
          <w:sz w:val="28"/>
          <w:szCs w:val="28"/>
        </w:rPr>
        <w:lastRenderedPageBreak/>
        <w:t>представителем которой он является, за исключением сведений составляющих коммерческую или иную охраняемую законом тайну;</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 предоставлять предложения в План работы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 информировать ассоциацию (союз), представителем которой он является, о результатах деятельности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выражать свое мнение при обсуждениях в порядке, предусмотренном в настоящем Положении.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5.6. Председатель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осуществляет руководство Комитетом;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утверждает План работы Комитета, повестку дня его заседаний;</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определяет форму проведения заседания Комитета (очная или заочная);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 формирует по отдельным вопросам подкомитеты, рабочие группы, консультативно-совещательные органы и утверждает их составы по представлению Рабочего органа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6) приглашает на заседания Комитета, подкомитетов, рабочих групп и консультативно-совещательных органов представителей государственных органов,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 рассматривает ходатайства членов Комитета о созыве заседания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9) дает Рабочему органу Комитета поручения, связанные с работой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при условии обязательного предварительного согласования курирующим/координирующим членом Правления;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11) на основании доверенности, выданной Национальной палатой в установленном порядке, имеет право публично выступать от имени Национальной палаты в средствах массовой информации в пределах задач и функций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12) подписывает протоколы заседаний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 </w:t>
      </w:r>
    </w:p>
    <w:p w:rsidR="006A37E4" w:rsidRPr="006A37E4" w:rsidRDefault="006A37E4" w:rsidP="006A37E4">
      <w:pPr>
        <w:jc w:val="both"/>
        <w:rPr>
          <w:rFonts w:ascii="Times New Roman" w:hAnsi="Times New Roman" w:cs="Times New Roman"/>
          <w:sz w:val="28"/>
          <w:szCs w:val="28"/>
        </w:rPr>
      </w:pPr>
      <w:r>
        <w:rPr>
          <w:rFonts w:ascii="Times New Roman" w:hAnsi="Times New Roman" w:cs="Times New Roman"/>
          <w:sz w:val="28"/>
          <w:szCs w:val="28"/>
        </w:rPr>
        <w:t>6. Рабочий орган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6.3. Рабочий орган Комитета организует работу Комитета, в том числе по вопросам: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подготовки и проведения заседаний Комитета/подкомитетов, ведения протоколов заседаний Комитета/подкомитетов;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подготовки материалов к заседаниям Комитета/подкомитетов, в том числе проектов повесток дня;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формирования планов работы Комитета/подкомитетов и проведения мониторинга исполнения планов работы Комитета/подкомитетов;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разработки нормативных правовых актов и других документов;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      экспертизы нормативных правовых актов и их проектов;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      сбора и систематизации материалов к заседанию Комитета/подкомитетов, текущего контроля за надлежащим оформлением материалов в соответствии с требованиями Положения;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      взаимодействия с государственными органами, ассоциациями (союзами), организациями и другими лицами в рамках компетенции Комитета/подкомитета;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      обеспечения по иным вопросам деятельности Комитета/подкомитетов;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9)      мониторинга активности членов Комитета/подкомитетов;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10) размещения на сайте НПП информации о деятельности Комитета/подкомитетов.</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6.4. Рабочий орган обеспечивает направление в обязательном порядке на рассмотрение членов Комитета, аккредитованных ассоциаций (союзов) поступающих в Национальную палату документов, относящихся к деятельности Комитета и имеющих стратегическое значение.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w:t>
      </w:r>
      <w:r w:rsidRPr="006A37E4">
        <w:rPr>
          <w:rFonts w:ascii="Times New Roman" w:hAnsi="Times New Roman" w:cs="Times New Roman"/>
          <w:sz w:val="28"/>
          <w:szCs w:val="28"/>
        </w:rPr>
        <w:lastRenderedPageBreak/>
        <w:t>национальных холдингов и национальных компаний), а также проекты  нормативных правовых актов, затрагивающих права и интересы большого (неограниченного)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предпринимательства, отрасли/сферы, предполагают введение ограничений, запретов, обязанностей, влекущих для бизнеса существенные затраты и др.).</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6.7. Письменные сообщения, между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служебной записки и считаются действительными (касательно планируемых мероприятий, уведомления, касательно кандидатур).</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 </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 Порядок созыва, проведения и оформлени</w:t>
      </w:r>
      <w:r>
        <w:rPr>
          <w:rFonts w:ascii="Times New Roman" w:hAnsi="Times New Roman" w:cs="Times New Roman"/>
          <w:sz w:val="28"/>
          <w:szCs w:val="28"/>
        </w:rPr>
        <w:t>я протоколов заседаний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Комитета/подкомитета.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Проект Плана работы Комитета должен включать:</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вопросы, предусмотренные принятыми решениями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вопросы, предложенные Председателем и членами Комитета, членами Правления Национальной палаты, Рабочим органом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w:t>
      </w:r>
      <w:r w:rsidRPr="006A37E4">
        <w:rPr>
          <w:rFonts w:ascii="Times New Roman" w:hAnsi="Times New Roman" w:cs="Times New Roman"/>
          <w:sz w:val="28"/>
          <w:szCs w:val="28"/>
        </w:rPr>
        <w:lastRenderedPageBreak/>
        <w:t xml:space="preserve">срок не позднее 15 (пятнадцати) календарных дней с даты поступления соответствующего запроса Рабочего органа. </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Проект Плана работы Комитета/подкомитета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Итоги исполнения Плана работы Комитета в обязательном порядке рассматриваются на заседании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7.2. Заседания Комитета, по решению Председателя Комитета, могут проводиться в следующих формах:</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1) очной, путем личного присутствия членов Комитета (в режиме </w:t>
      </w:r>
      <w:proofErr w:type="spellStart"/>
      <w:r w:rsidRPr="006A37E4">
        <w:rPr>
          <w:rFonts w:ascii="Times New Roman" w:hAnsi="Times New Roman" w:cs="Times New Roman"/>
          <w:sz w:val="28"/>
          <w:szCs w:val="28"/>
        </w:rPr>
        <w:t>оффлайн</w:t>
      </w:r>
      <w:proofErr w:type="spellEnd"/>
      <w:r w:rsidRPr="006A37E4">
        <w:rPr>
          <w:rFonts w:ascii="Times New Roman" w:hAnsi="Times New Roman" w:cs="Times New Roman"/>
          <w:sz w:val="28"/>
          <w:szCs w:val="28"/>
        </w:rPr>
        <w:t xml:space="preserve"> или онлайн);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В случае вынесения таких вопросов на заседание Комитета Рабочий орган Комитета обеспечивает участие на заседании представителей соответствующих Комитетов Президиума и/или их Рабочих органов или структурных подразделений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7.4. В случае концептуальных расхождений позиции Комитета или </w:t>
      </w:r>
      <w:proofErr w:type="gramStart"/>
      <w:r w:rsidRPr="006A37E4">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6A37E4">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каждого из Комитетов (двух и более позиций) на рассмотрение Правления для выработки позиции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Заседание Комитета Президиума созываются Председателем: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на плановой основе, в соответствии с утверждаемым планом работ;</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7.9. Созыв заседаний Комитета/подкомитета производится путем направления членам Комитета/подкомитета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Комитета/подкомитета, позволяющие 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По решению Председателя Комитета/подкомитета, в случае необходимости срочного рассмотрения вопросов на заседании Комитета/подкомитета, указанный срок может быть сокращен. Уведомление о проведении заседания Комитета/подкомитета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Комитета/подкомитета.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7.10. Уведомления о созыве заседаний Комитета/подкомитета, при необходимости, направляются также иным лицам, приглашаемым для участия в очном заседании Комитета/подкомитета. Список вышеуказанных лиц определяется Председателем Комитета/подкомитета.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7.11. В уведомлении должны быть указаны: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дата, время и место проведения заседания;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повестка дня заседания;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форма проведения заседания (очная либо заочная, открытая или закрытая).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Материалы по вопросам, включенным в повестку дня заседания конкретного Комитета/подкомитета, должны включать в себя записку, поясняющую суть вопроса, выносимого на рассмотрение Комитета/подкомитета, проект решения по этому вопросу.</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7.14. Заседания Комитетов проводятся их Председателями. При необходимости, Председатель Комитета возлагает временное исполнение своих обязанностей на своего заместителя (заместителей) и/или иного члена Комитета с правом голоса.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7.15. Повестка дня заседания Комитета, проводимого в очной форме, оглашается Председателем Комитета на заседании Комитета до начала рассмотрения </w:t>
      </w:r>
      <w:proofErr w:type="gramStart"/>
      <w:r w:rsidRPr="006A37E4">
        <w:rPr>
          <w:rFonts w:ascii="Times New Roman" w:hAnsi="Times New Roman" w:cs="Times New Roman"/>
          <w:sz w:val="28"/>
          <w:szCs w:val="28"/>
        </w:rPr>
        <w:t>вопросов</w:t>
      </w:r>
      <w:proofErr w:type="gramEnd"/>
      <w:r w:rsidRPr="006A37E4">
        <w:rPr>
          <w:rFonts w:ascii="Times New Roman" w:hAnsi="Times New Roman" w:cs="Times New Roman"/>
          <w:sz w:val="28"/>
          <w:szCs w:val="28"/>
        </w:rPr>
        <w:t xml:space="preserve"> по существу.</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7.16. Решения на очном заседании Комитета принимаются открытым или закрытым голосованием.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полное наименование Национальной палаты и ее юридический адрес;</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7.19. Заочное голосование проводится в срок, установленный в бюллетене голосования либо электронной форме для голосования, но не менее 1 (одного) рабочего дня и не более 3 (трех) рабочих дней, со дня направления Секретарем Комитета бюллетеня или электронной формы для голосования.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Комитета считается проголосовавшим «за» по всем вопросам повестки дня заочного заседания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признаются недействительными и не учитываются при определении результатов голосования.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Члены Комитета с правом совещательного голоса не принимают участие в голосовании.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7.25. При равенстве голосов, голос Председателя Комитета является решающим.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Руководитель Рабочего органа (департамента) является Секретарем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7.27.    Секретарь Комитета на заседании Комитета ведет и подписывает протокол.</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В протоколе, составляемом по результатам заочного/электронного голосования, указываются: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дата проведения заочного/электронного голосования;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2)    место составления протокола;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4)    бюллетени для голосования членов Комитета с правом голоса, которые признаны недействительными (при необходимости);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5)    список членов Комитета с правом голоса, принявших участие в голосовании;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6)    вопросы, поставленные на голосование, и итоги голосования по каждому из них;</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    принятые решения.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lastRenderedPageBreak/>
        <w:t xml:space="preserve">7.31. Принятые решения Комитета, в том числе совместные решения Комитетов: </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2) в порядке, установленном настоящим Положением, вносятся в государственные органы в соответствии с направлениями деятельности, задачами и функциями </w:t>
      </w:r>
      <w:proofErr w:type="gramStart"/>
      <w:r w:rsidRPr="006A37E4">
        <w:rPr>
          <w:rFonts w:ascii="Times New Roman" w:hAnsi="Times New Roman" w:cs="Times New Roman"/>
          <w:sz w:val="28"/>
          <w:szCs w:val="28"/>
        </w:rPr>
        <w:t xml:space="preserve">Комитета,   </w:t>
      </w:r>
      <w:proofErr w:type="gramEnd"/>
      <w:r w:rsidRPr="006A37E4">
        <w:rPr>
          <w:rFonts w:ascii="Times New Roman" w:hAnsi="Times New Roman" w:cs="Times New Roman"/>
          <w:sz w:val="28"/>
          <w:szCs w:val="28"/>
        </w:rPr>
        <w:t xml:space="preserve"> с учетом подпункта 10) пункта 5.6 Положения о Комитете.</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7.34. Секретарь Комитета ответственен за надлежащее, своевременное и качественное исполнение процедур, пред</w:t>
      </w:r>
      <w:r>
        <w:rPr>
          <w:rFonts w:ascii="Times New Roman" w:hAnsi="Times New Roman" w:cs="Times New Roman"/>
          <w:sz w:val="28"/>
          <w:szCs w:val="28"/>
        </w:rPr>
        <w:t>усмотренных настоящим Порядком.</w:t>
      </w:r>
    </w:p>
    <w:p w:rsidR="006A37E4" w:rsidRPr="006A37E4" w:rsidRDefault="006A37E4" w:rsidP="006A37E4">
      <w:pPr>
        <w:jc w:val="both"/>
        <w:rPr>
          <w:rFonts w:ascii="Times New Roman" w:hAnsi="Times New Roman" w:cs="Times New Roman"/>
          <w:sz w:val="28"/>
          <w:szCs w:val="28"/>
        </w:rPr>
      </w:pPr>
      <w:bookmarkStart w:id="0" w:name="_GoBack"/>
      <w:bookmarkEnd w:id="0"/>
    </w:p>
    <w:p w:rsidR="006A37E4" w:rsidRPr="006A37E4" w:rsidRDefault="006A37E4" w:rsidP="006A37E4">
      <w:pPr>
        <w:jc w:val="both"/>
        <w:rPr>
          <w:rFonts w:ascii="Times New Roman" w:hAnsi="Times New Roman" w:cs="Times New Roman"/>
          <w:sz w:val="28"/>
          <w:szCs w:val="28"/>
        </w:rPr>
      </w:pPr>
      <w:r>
        <w:rPr>
          <w:rFonts w:ascii="Times New Roman" w:hAnsi="Times New Roman" w:cs="Times New Roman"/>
          <w:sz w:val="28"/>
          <w:szCs w:val="28"/>
        </w:rPr>
        <w:t>8. Заключительные положения</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6A37E4"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8.4. Члены Комитета несут ответственность за разглашение и передачу третьим лицам персональных данных, указанных в настоящем Положении.</w:t>
      </w:r>
    </w:p>
    <w:p w:rsidR="0015655C" w:rsidRPr="006A37E4" w:rsidRDefault="006A37E4" w:rsidP="006A37E4">
      <w:pPr>
        <w:jc w:val="both"/>
        <w:rPr>
          <w:rFonts w:ascii="Times New Roman" w:hAnsi="Times New Roman" w:cs="Times New Roman"/>
          <w:sz w:val="28"/>
          <w:szCs w:val="28"/>
        </w:rPr>
      </w:pPr>
      <w:r w:rsidRPr="006A37E4">
        <w:rPr>
          <w:rFonts w:ascii="Times New Roman" w:hAnsi="Times New Roman" w:cs="Times New Roman"/>
          <w:sz w:val="28"/>
          <w:szCs w:val="28"/>
        </w:rPr>
        <w:t>8.5. Рабочий орган Комитета должен в течение 1 (одного) месяца с момента утверждения внесенных изменений в Положение о Комитете, необходимо инициировать изменения в документы, регулирующие деятельность Комитета в соответствии с внесенными изменениями в настоящее Положение о Комитете.</w:t>
      </w:r>
    </w:p>
    <w:sectPr w:rsidR="0015655C" w:rsidRPr="006A37E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37E4"/>
    <w:rsid w:val="0015655C"/>
    <w:rsid w:val="006A37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FCC3D2-FF29-485C-A2E9-1781452C3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20</Pages>
  <Words>5921</Words>
  <Characters>33753</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39595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2025-05-13T09:27:00Z</dcterms:created>
  <dcterms:modified xsi:type="dcterms:W3CDTF">2025-05-13T09:29:00Z</dcterms:modified>
</cp:coreProperties>
</file>